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1802FA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90542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05426" w:rsidRPr="00905426">
              <w:rPr>
                <w:b/>
                <w:color w:val="000000" w:themeColor="text1"/>
                <w:sz w:val="28"/>
              </w:rPr>
              <w:t>Environmental Science – Associate in Applied Science (ENSC.AAS)</w:t>
            </w:r>
            <w:bookmarkStart w:id="0" w:name="_GoBack"/>
            <w:bookmarkEnd w:id="0"/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1802FA">
              <w:rPr>
                <w:b/>
                <w:color w:val="000000" w:themeColor="text1"/>
                <w:sz w:val="28"/>
              </w:rPr>
              <w:t xml:space="preserve"> Steven Albee-Scott, PhD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1802FA">
              <w:rPr>
                <w:b/>
                <w:color w:val="000000" w:themeColor="text1"/>
                <w:sz w:val="24"/>
              </w:rPr>
              <w:t xml:space="preserve"> JM111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1802FA">
              <w:rPr>
                <w:b/>
                <w:color w:val="000000" w:themeColor="text1"/>
                <w:sz w:val="24"/>
              </w:rPr>
              <w:t xml:space="preserve"> albeescsteven@jccmi.edu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802FA">
              <w:rPr>
                <w:b/>
                <w:color w:val="000000" w:themeColor="text1"/>
                <w:sz w:val="24"/>
              </w:rPr>
              <w:t xml:space="preserve"> (517) 976-8568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Identify, understand, and formulate environmental and ecological hypotheses.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Formative assessment using a portfolio rubric.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Recognize, generate, and record empirical data.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GEL109 Earth Science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Laboratory practical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Communicate the outcomes of applied experiments.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Written manuscript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Understand and discuss applications of environmental science and scientific theories of biology.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Formative assessment using a portfolio; summative exams with essay; written manuscript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Contextually understand and evaluate societal issues pertaining to ecology, evolution, and applied environmental science.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115E4" w:rsidP="004115E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Summative exam essay using rhetorical argumentation style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Consider the ethical and moral implications of the role of humans and their activities in the environment.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Summative exam essay using rhetorical argumentation style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1D699B" w:rsidRPr="00E9398B" w:rsidRDefault="00F4668A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8A" w:rsidRDefault="00F4668A" w:rsidP="00AA2E5A">
      <w:pPr>
        <w:spacing w:after="0" w:line="240" w:lineRule="auto"/>
      </w:pPr>
      <w:r>
        <w:separator/>
      </w:r>
    </w:p>
  </w:endnote>
  <w:endnote w:type="continuationSeparator" w:id="0">
    <w:p w:rsidR="00F4668A" w:rsidRDefault="00F4668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8A" w:rsidRDefault="00F4668A" w:rsidP="00AA2E5A">
      <w:pPr>
        <w:spacing w:after="0" w:line="240" w:lineRule="auto"/>
      </w:pPr>
      <w:r>
        <w:separator/>
      </w:r>
    </w:p>
  </w:footnote>
  <w:footnote w:type="continuationSeparator" w:id="0">
    <w:p w:rsidR="00F4668A" w:rsidRDefault="00F4668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02FA"/>
    <w:rsid w:val="00273A7C"/>
    <w:rsid w:val="002F3052"/>
    <w:rsid w:val="0034281E"/>
    <w:rsid w:val="00346B71"/>
    <w:rsid w:val="003851F5"/>
    <w:rsid w:val="003C61F2"/>
    <w:rsid w:val="0040039B"/>
    <w:rsid w:val="004115E4"/>
    <w:rsid w:val="006108BC"/>
    <w:rsid w:val="00634400"/>
    <w:rsid w:val="0064425B"/>
    <w:rsid w:val="007130DB"/>
    <w:rsid w:val="007A6436"/>
    <w:rsid w:val="0089210A"/>
    <w:rsid w:val="008C5DCE"/>
    <w:rsid w:val="00900B28"/>
    <w:rsid w:val="00901535"/>
    <w:rsid w:val="00905426"/>
    <w:rsid w:val="00A8589E"/>
    <w:rsid w:val="00AA2E5A"/>
    <w:rsid w:val="00AB6F3D"/>
    <w:rsid w:val="00B2468E"/>
    <w:rsid w:val="00BA26B6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4668A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CFE70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D8EE-0194-4FF9-A08B-EB89E62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AlbeeScott Steven</cp:lastModifiedBy>
  <cp:revision>3</cp:revision>
  <cp:lastPrinted>2013-02-13T20:43:00Z</cp:lastPrinted>
  <dcterms:created xsi:type="dcterms:W3CDTF">2018-04-27T16:14:00Z</dcterms:created>
  <dcterms:modified xsi:type="dcterms:W3CDTF">2018-04-27T16:21:00Z</dcterms:modified>
</cp:coreProperties>
</file>