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19793A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19793A">
              <w:rPr>
                <w:b/>
                <w:color w:val="000000" w:themeColor="text1"/>
                <w:sz w:val="28"/>
              </w:rPr>
              <w:t xml:space="preserve"> Health Administration Insurance Specialist</w:t>
            </w:r>
          </w:p>
          <w:p w:rsidR="0019793A" w:rsidRPr="00F87D4D" w:rsidRDefault="0019793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(Medical Insurance Coder/Biller Certificate)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19793A">
              <w:rPr>
                <w:b/>
                <w:color w:val="000000" w:themeColor="text1"/>
                <w:sz w:val="28"/>
              </w:rPr>
              <w:t xml:space="preserve"> Dr. Kristin M Spencer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19793A">
              <w:rPr>
                <w:b/>
                <w:color w:val="000000" w:themeColor="text1"/>
                <w:sz w:val="24"/>
              </w:rPr>
              <w:t xml:space="preserve"> JW232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19793A">
              <w:rPr>
                <w:b/>
                <w:color w:val="000000" w:themeColor="text1"/>
                <w:sz w:val="24"/>
              </w:rPr>
              <w:t xml:space="preserve"> spencerkristinm01@jccmi.edu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19793A">
              <w:rPr>
                <w:b/>
                <w:color w:val="000000" w:themeColor="text1"/>
                <w:sz w:val="24"/>
              </w:rPr>
              <w:t xml:space="preserve"> 517-796-8463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 w:rsidRPr="00C02FD1">
              <w:rPr>
                <w:i/>
                <w:sz w:val="24"/>
                <w:szCs w:val="24"/>
              </w:rPr>
              <w:t>Students will be able to perform the skills required for entry-level emplo</w:t>
            </w:r>
            <w:r>
              <w:rPr>
                <w:i/>
                <w:sz w:val="24"/>
                <w:szCs w:val="24"/>
              </w:rPr>
              <w:t>yment as a medical coder.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MIC101/MIC150/MIC211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Exams and Final Competencies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 w:rsidRPr="00C02FD1">
              <w:rPr>
                <w:i/>
                <w:sz w:val="24"/>
                <w:szCs w:val="24"/>
              </w:rPr>
              <w:t>Students will be able to perform the skills required for entry-level emplo</w:t>
            </w:r>
            <w:r>
              <w:rPr>
                <w:i/>
                <w:sz w:val="24"/>
                <w:szCs w:val="24"/>
              </w:rPr>
              <w:t>yment as a medical biller.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MIC242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Final Exam and Final Competency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 w:rsidRPr="00C02FD1">
              <w:rPr>
                <w:i/>
                <w:sz w:val="24"/>
                <w:szCs w:val="24"/>
              </w:rPr>
              <w:t xml:space="preserve">Students will be able to </w:t>
            </w:r>
            <w:r>
              <w:rPr>
                <w:i/>
                <w:sz w:val="24"/>
                <w:szCs w:val="24"/>
              </w:rPr>
              <w:t>navigate and electronic billing system.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MIC201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Winter 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Comprehensive chapter at end of text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19793A" w:rsidRPr="00C02FD1" w:rsidRDefault="0019793A" w:rsidP="0019793A">
            <w:pPr>
              <w:contextualSpacing/>
              <w:rPr>
                <w:i/>
                <w:sz w:val="24"/>
                <w:szCs w:val="24"/>
              </w:rPr>
            </w:pPr>
            <w:r w:rsidRPr="00C02FD1">
              <w:rPr>
                <w:i/>
                <w:sz w:val="24"/>
                <w:szCs w:val="24"/>
              </w:rPr>
              <w:t xml:space="preserve">Students will demonstrate understanding of coding procedures through successful completion of related skill based competencies utilized to prepare them for the American Academy of Professional Coders, </w:t>
            </w:r>
            <w:proofErr w:type="gramStart"/>
            <w:r w:rsidRPr="00C02FD1">
              <w:rPr>
                <w:i/>
                <w:sz w:val="24"/>
                <w:szCs w:val="24"/>
              </w:rPr>
              <w:t>AAPC(</w:t>
            </w:r>
            <w:proofErr w:type="gramEnd"/>
            <w:r w:rsidRPr="00C02FD1">
              <w:rPr>
                <w:i/>
                <w:sz w:val="24"/>
                <w:szCs w:val="24"/>
              </w:rPr>
              <w:t>CPC) or other national certification exam.</w:t>
            </w:r>
          </w:p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MIC255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19793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Practice CPC/final exam</w:t>
            </w:r>
          </w:p>
        </w:tc>
      </w:tr>
    </w:tbl>
    <w:p w:rsidR="001D699B" w:rsidRPr="00E9398B" w:rsidRDefault="0019793A" w:rsidP="00E9398B">
      <w:bookmarkStart w:id="0" w:name="_GoBack"/>
      <w:bookmarkEnd w:id="0"/>
    </w:p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9793A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152F-3503-4AD5-8935-2DC2426F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Spencer Kristin M</cp:lastModifiedBy>
  <cp:revision>2</cp:revision>
  <cp:lastPrinted>2013-02-13T20:43:00Z</cp:lastPrinted>
  <dcterms:created xsi:type="dcterms:W3CDTF">2018-04-09T14:39:00Z</dcterms:created>
  <dcterms:modified xsi:type="dcterms:W3CDTF">2018-04-09T14:39:00Z</dcterms:modified>
</cp:coreProperties>
</file>