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6" w:rsidRDefault="00733FE6" w:rsidP="00733FE6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733FE6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53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2160"/>
      </w:tblGrid>
      <w:tr w:rsidR="00733FE6" w:rsidTr="005F0F9C">
        <w:tblPrEx>
          <w:tblCellMar>
            <w:top w:w="0" w:type="dxa"/>
            <w:bottom w:w="0" w:type="dxa"/>
          </w:tblCellMar>
        </w:tblPrEx>
        <w:tc>
          <w:tcPr>
            <w:tcW w:w="2070" w:type="dxa"/>
            <w:gridSpan w:val="2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733FE6" w:rsidRPr="00AC1E0D" w:rsidRDefault="00733FE6" w:rsidP="005F0F9C">
            <w:pPr>
              <w:rPr>
                <w:rFonts w:ascii="Arial" w:hAnsi="Arial"/>
                <w:b/>
                <w:color w:val="1F497D"/>
              </w:rPr>
            </w:pPr>
            <w:r w:rsidRPr="00AC1E0D">
              <w:rPr>
                <w:rFonts w:ascii="Arial" w:hAnsi="Arial"/>
                <w:b/>
                <w:noProof/>
                <w:color w:val="1F497D"/>
              </w:rPr>
              <w:t xml:space="preserve">RES </w:t>
            </w:r>
            <w:r>
              <w:rPr>
                <w:rFonts w:ascii="Arial" w:hAnsi="Arial"/>
                <w:b/>
                <w:noProof/>
                <w:color w:val="1F497D"/>
              </w:rPr>
              <w:t>21</w:t>
            </w:r>
            <w:r w:rsidRPr="00AC1E0D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900" w:type="dxa"/>
            <w:gridSpan w:val="3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3</w:t>
            </w:r>
          </w:p>
        </w:tc>
        <w:tc>
          <w:tcPr>
            <w:tcW w:w="72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b/>
              </w:rPr>
            </w:pPr>
            <w:r w:rsidRPr="00FC0BD1">
              <w:rPr>
                <w:rFonts w:ascii="Arial" w:hAnsi="Arial"/>
                <w:b/>
                <w:noProof/>
                <w:color w:val="1F497D"/>
              </w:rPr>
              <w:t>Perinatal and Pediatric Respiratory Care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733FE6" w:rsidRDefault="00733FE6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5"/>
          </w:tcPr>
          <w:p w:rsidR="00733FE6" w:rsidRDefault="00733FE6" w:rsidP="005F0F9C">
            <w:pPr>
              <w:spacing w:line="80" w:lineRule="exact"/>
              <w:rPr>
                <w:rFonts w:ascii="Arial" w:hAnsi="Arial"/>
              </w:rPr>
            </w:pPr>
          </w:p>
        </w:tc>
      </w:tr>
      <w:tr w:rsidR="00733FE6" w:rsidTr="005F0F9C">
        <w:tblPrEx>
          <w:tblCellMar>
            <w:top w:w="0" w:type="dxa"/>
            <w:left w:w="73" w:type="dxa"/>
            <w:bottom w:w="0" w:type="dxa"/>
            <w:right w:w="73" w:type="dxa"/>
          </w:tblCellMar>
        </w:tblPrEx>
        <w:tc>
          <w:tcPr>
            <w:tcW w:w="180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33FE6" w:rsidRPr="00EF119C" w:rsidRDefault="00733FE6" w:rsidP="005F0F9C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30</w:t>
            </w:r>
          </w:p>
        </w:tc>
        <w:tc>
          <w:tcPr>
            <w:tcW w:w="1350" w:type="dxa"/>
            <w:gridSpan w:val="2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FF0000"/>
              </w:rPr>
              <w:t>45</w:t>
            </w:r>
          </w:p>
        </w:tc>
        <w:tc>
          <w:tcPr>
            <w:tcW w:w="126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</w:rPr>
            </w:pPr>
            <w:r w:rsidRPr="004F51AF">
              <w:rPr>
                <w:rFonts w:ascii="Arial" w:hAnsi="Arial"/>
                <w:b/>
                <w:noProof/>
                <w:color w:val="1F497D"/>
              </w:rPr>
              <w:t>0</w:t>
            </w:r>
          </w:p>
        </w:tc>
        <w:tc>
          <w:tcPr>
            <w:tcW w:w="216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733FE6" w:rsidRDefault="00733FE6" w:rsidP="00733FE6">
      <w:pPr>
        <w:rPr>
          <w:rFonts w:ascii="Arial" w:hAnsi="Arial"/>
          <w:b/>
        </w:rPr>
      </w:pPr>
      <w:r w:rsidRPr="00FC0BD1">
        <w:rPr>
          <w:rFonts w:ascii="Arial" w:hAnsi="Arial"/>
          <w:b/>
          <w:noProof/>
          <w:color w:val="1F497D"/>
        </w:rPr>
        <w:t>This classroom and laboratory course covers topics including fetal growth and development, patient assessment, commonly encountered equipment, and the clinical management of common neonatal/pediatric diseases and conditions.</w:t>
      </w:r>
      <w:r>
        <w:rPr>
          <w:rFonts w:ascii="Arial" w:hAnsi="Arial"/>
          <w:noProof/>
        </w:rPr>
        <w:t xml:space="preserve">  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733FE6" w:rsidRPr="00AC1E0D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Compare and contrast problems in the care of the high risk newborn, including thermoregulation, RDS, BPD, pulmonary dysmaturity, and other disorders.</w:t>
      </w:r>
      <w:r w:rsidRPr="000F04EC">
        <w:rPr>
          <w:rFonts w:ascii="Calibri" w:hAnsi="Calibri" w:cs="Arial"/>
          <w:b/>
        </w:rPr>
        <w:t xml:space="preserve"> </w:t>
      </w:r>
      <w:r w:rsidRPr="00AC1E0D">
        <w:rPr>
          <w:rFonts w:ascii="Arial" w:hAnsi="Arial"/>
          <w:b/>
          <w:noProof/>
          <w:color w:val="1F497D"/>
        </w:rPr>
        <w:t xml:space="preserve"> </w:t>
      </w:r>
      <w:r w:rsidRPr="00AC1E0D">
        <w:rPr>
          <w:rFonts w:ascii="Arial" w:hAnsi="Arial"/>
          <w:b/>
          <w:noProof/>
          <w:color w:val="1F497D"/>
        </w:rPr>
        <w:tab/>
        <w:t>ADO 7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</w:t>
      </w:r>
      <w:proofErr w:type="gramStart"/>
      <w:r>
        <w:rPr>
          <w:rFonts w:ascii="Arial" w:hAnsi="Arial"/>
          <w:b/>
        </w:rPr>
        <w:t xml:space="preserve">Course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These must appear in course syllabus.)</w:t>
      </w:r>
    </w:p>
    <w:p w:rsidR="00733FE6" w:rsidRDefault="00733FE6" w:rsidP="00733FE6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ADO 7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Fetal Development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Fetal to Neonatal Transition, and High Risk Deliveries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 xml:space="preserve">Neonatal Resuscitation 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Airway Management of the Neonate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Assessment of the Neonate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 xml:space="preserve">Cardiopulmonary Diseases of the Neonate 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 Cardiopulmonary Management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Common Pediatric Diseases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Congenital Heart Defects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Oxygen and Aerosol Therapy for Neonatal and Pediatric Patients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Respiratory Medication Delivery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Bronchial Hygiene Techniques for Neonatal and Pediatric Patients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CPAP Types and Application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Neonatal-Pediatric Ventilators</w:t>
      </w:r>
    </w:p>
    <w:p w:rsidR="00733FE6" w:rsidRPr="00FC0BD1" w:rsidRDefault="00733FE6" w:rsidP="00733FE6">
      <w:pPr>
        <w:numPr>
          <w:ilvl w:val="0"/>
          <w:numId w:val="2"/>
        </w:numPr>
        <w:rPr>
          <w:rFonts w:ascii="Arial" w:hAnsi="Arial"/>
          <w:b/>
          <w:noProof/>
          <w:color w:val="1F497D"/>
        </w:rPr>
      </w:pPr>
      <w:r w:rsidRPr="00FC0BD1">
        <w:rPr>
          <w:rFonts w:ascii="Arial" w:hAnsi="Arial"/>
          <w:b/>
          <w:noProof/>
          <w:color w:val="1F497D"/>
        </w:rPr>
        <w:t>Neonatal-Pediatric Ventilation Techniques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733FE6" w:rsidRPr="00AC1E0D" w:rsidRDefault="00733FE6" w:rsidP="00733FE6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 xml:space="preserve">Lecture </w:t>
      </w:r>
    </w:p>
    <w:p w:rsidR="00733FE6" w:rsidRPr="00AC1E0D" w:rsidRDefault="00733FE6" w:rsidP="00733FE6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Lab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733FE6" w:rsidRPr="00561601" w:rsidRDefault="00733FE6" w:rsidP="00733FE6">
      <w:pPr>
        <w:numPr>
          <w:ilvl w:val="0"/>
          <w:numId w:val="3"/>
        </w:numPr>
        <w:rPr>
          <w:rFonts w:ascii="Arial" w:hAnsi="Arial"/>
          <w:b/>
          <w:noProof/>
          <w:color w:val="1F497D"/>
        </w:rPr>
      </w:pPr>
      <w:r w:rsidRPr="00561601">
        <w:rPr>
          <w:rFonts w:ascii="Arial" w:hAnsi="Arial"/>
          <w:b/>
          <w:noProof/>
          <w:color w:val="1F497D"/>
        </w:rPr>
        <w:t>Yes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 Costs to Students</w:t>
      </w:r>
    </w:p>
    <w:p w:rsidR="00733FE6" w:rsidRPr="00AC1E0D" w:rsidRDefault="00733FE6" w:rsidP="00733FE6">
      <w:pPr>
        <w:numPr>
          <w:ilvl w:val="0"/>
          <w:numId w:val="3"/>
        </w:numPr>
        <w:rPr>
          <w:rFonts w:ascii="Arial" w:hAnsi="Arial"/>
          <w:b/>
          <w:noProof/>
          <w:color w:val="FF0000"/>
        </w:rPr>
      </w:pPr>
      <w:r w:rsidRPr="00AC1E0D">
        <w:rPr>
          <w:rFonts w:ascii="Arial" w:hAnsi="Arial"/>
          <w:b/>
          <w:noProof/>
          <w:color w:val="FF0000"/>
        </w:rPr>
        <w:t>$</w:t>
      </w:r>
      <w:r>
        <w:rPr>
          <w:rFonts w:ascii="Arial" w:hAnsi="Arial"/>
          <w:b/>
          <w:noProof/>
          <w:color w:val="FF0000"/>
        </w:rPr>
        <w:t>29</w:t>
      </w:r>
    </w:p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733FE6" w:rsidRPr="0061495D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733FE6" w:rsidRPr="0061495D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150" w:type="dxa"/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short compositions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lengthy compositions</w:t>
            </w:r>
          </w:p>
        </w:tc>
      </w:tr>
      <w:tr w:rsidR="00733FE6" w:rsidRPr="0061495D" w:rsidTr="005F0F9C">
        <w:tblPrEx>
          <w:tblCellMar>
            <w:top w:w="0" w:type="dxa"/>
            <w:bottom w:w="0" w:type="dxa"/>
          </w:tblCellMar>
        </w:tblPrEx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33FE6" w:rsidRPr="0061495D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33FE6" w:rsidRPr="0061495D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733FE6" w:rsidRPr="0088335C" w:rsidRDefault="00733FE6" w:rsidP="005F0F9C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733FE6" w:rsidRDefault="00733FE6" w:rsidP="005F0F9C">
            <w:pPr>
              <w:spacing w:line="80" w:lineRule="exact"/>
              <w:rPr>
                <w:rFonts w:ascii="Arial" w:hAnsi="Arial"/>
                <w:sz w:val="18"/>
              </w:rPr>
            </w:pPr>
          </w:p>
        </w:tc>
      </w:tr>
    </w:tbl>
    <w:p w:rsidR="00733FE6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p w:rsidR="00733FE6" w:rsidRDefault="00733FE6" w:rsidP="00733FE6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825"/>
        <w:gridCol w:w="308"/>
        <w:gridCol w:w="688"/>
        <w:gridCol w:w="266"/>
        <w:gridCol w:w="818"/>
        <w:gridCol w:w="266"/>
        <w:gridCol w:w="1054"/>
        <w:gridCol w:w="975"/>
        <w:gridCol w:w="266"/>
        <w:gridCol w:w="896"/>
        <w:gridCol w:w="266"/>
        <w:gridCol w:w="896"/>
        <w:gridCol w:w="266"/>
        <w:gridCol w:w="1290"/>
      </w:tblGrid>
      <w:tr w:rsidR="00733FE6" w:rsidTr="005F0F9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10" w:type="dxa"/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lastRenderedPageBreak/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52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noProof/>
                <w:color w:val="1F497D"/>
              </w:rPr>
              <w:t>X</w:t>
            </w:r>
          </w:p>
        </w:tc>
        <w:tc>
          <w:tcPr>
            <w:tcW w:w="1170" w:type="dxa"/>
            <w:tcBorders>
              <w:left w:val="nil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6" w:rsidRDefault="00733FE6" w:rsidP="005F0F9C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733FE6" w:rsidRDefault="00733FE6" w:rsidP="005F0F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733FE6" w:rsidRPr="0061495D" w:rsidRDefault="00733FE6" w:rsidP="00733FE6">
      <w:pPr>
        <w:spacing w:line="80" w:lineRule="exact"/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733FE6" w:rsidTr="005F0F9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6318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</w:t>
            </w:r>
            <w:r w:rsidRPr="0061495D">
              <w:rPr>
                <w:rFonts w:ascii="Arial" w:hAnsi="Arial"/>
                <w:b/>
                <w:noProof/>
                <w:color w:val="1F497D"/>
                <w:u w:val="single"/>
              </w:rPr>
              <w:t>Ann Flint</w:t>
            </w:r>
            <w:r>
              <w:rPr>
                <w:rFonts w:ascii="Arial" w:hAnsi="Arial"/>
                <w:b/>
                <w:sz w:val="16"/>
              </w:rPr>
              <w:t>__________________________________________</w:t>
            </w:r>
          </w:p>
        </w:tc>
        <w:tc>
          <w:tcPr>
            <w:tcW w:w="27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</w:t>
            </w:r>
            <w:r>
              <w:rPr>
                <w:rFonts w:ascii="Arial" w:hAnsi="Arial"/>
                <w:b/>
                <w:noProof/>
                <w:color w:val="1F497D"/>
                <w:u w:val="single"/>
              </w:rPr>
              <w:t>11-23-2013</w:t>
            </w:r>
            <w:r>
              <w:rPr>
                <w:rFonts w:ascii="Arial" w:hAnsi="Arial"/>
                <w:b/>
                <w:sz w:val="16"/>
              </w:rPr>
              <w:t>____________________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6318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Kristin Spencer</w:t>
            </w:r>
          </w:p>
        </w:tc>
        <w:tc>
          <w:tcPr>
            <w:tcW w:w="27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11-25-13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318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Dean: Jeremy Frew</w:t>
            </w:r>
          </w:p>
        </w:tc>
        <w:tc>
          <w:tcPr>
            <w:tcW w:w="27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11-26-13</w:t>
            </w:r>
          </w:p>
        </w:tc>
      </w:tr>
      <w:tr w:rsidR="00733FE6" w:rsidTr="005F0F9C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18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733FE6" w:rsidRDefault="00733FE6" w:rsidP="005F0F9C">
            <w:pPr>
              <w:spacing w:line="24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733FE6" w:rsidRDefault="00733FE6" w:rsidP="00733FE6">
      <w:pPr>
        <w:spacing w:line="220" w:lineRule="exact"/>
        <w:ind w:left="2160" w:firstLine="720"/>
        <w:rPr>
          <w:rFonts w:ascii="Arial" w:hAnsi="Arial"/>
          <w:b/>
          <w:sz w:val="16"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sz w:val="16"/>
        </w:rPr>
        <w:t>(Last names, please)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  <w:t>Form Revised 12/4/00</w:t>
      </w:r>
    </w:p>
    <w:p w:rsidR="007E5729" w:rsidRPr="00733FE6" w:rsidRDefault="007E5729" w:rsidP="00733FE6">
      <w:bookmarkStart w:id="0" w:name="_GoBack"/>
      <w:bookmarkEnd w:id="0"/>
    </w:p>
    <w:sectPr w:rsidR="007E5729" w:rsidRPr="0073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DA7"/>
    <w:multiLevelType w:val="hybridMultilevel"/>
    <w:tmpl w:val="CA245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31ECF"/>
    <w:multiLevelType w:val="hybridMultilevel"/>
    <w:tmpl w:val="5418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49D"/>
    <w:multiLevelType w:val="hybridMultilevel"/>
    <w:tmpl w:val="BFA0D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44914"/>
    <w:multiLevelType w:val="multilevel"/>
    <w:tmpl w:val="970AD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FB25FA0"/>
    <w:multiLevelType w:val="hybridMultilevel"/>
    <w:tmpl w:val="A23206BA"/>
    <w:lvl w:ilvl="0" w:tplc="04090001">
      <w:start w:val="1"/>
      <w:numFmt w:val="bullet"/>
      <w:lvlText w:val=""/>
      <w:lvlJc w:val="left"/>
      <w:pPr>
        <w:ind w:left="1026" w:hanging="721"/>
      </w:pPr>
      <w:rPr>
        <w:rFonts w:ascii="Symbol" w:hAnsi="Symbol" w:hint="default"/>
        <w:sz w:val="20"/>
        <w:szCs w:val="20"/>
      </w:rPr>
    </w:lvl>
    <w:lvl w:ilvl="1" w:tplc="1EBC885C">
      <w:start w:val="1"/>
      <w:numFmt w:val="bullet"/>
      <w:lvlText w:val="•"/>
      <w:lvlJc w:val="left"/>
      <w:pPr>
        <w:ind w:left="1989" w:hanging="721"/>
      </w:pPr>
      <w:rPr>
        <w:rFonts w:hint="default"/>
      </w:rPr>
    </w:lvl>
    <w:lvl w:ilvl="2" w:tplc="A0464F3C">
      <w:start w:val="1"/>
      <w:numFmt w:val="bullet"/>
      <w:lvlText w:val="•"/>
      <w:lvlJc w:val="left"/>
      <w:pPr>
        <w:ind w:left="2952" w:hanging="721"/>
      </w:pPr>
      <w:rPr>
        <w:rFonts w:hint="default"/>
      </w:rPr>
    </w:lvl>
    <w:lvl w:ilvl="3" w:tplc="2632AADA">
      <w:start w:val="1"/>
      <w:numFmt w:val="bullet"/>
      <w:lvlText w:val="•"/>
      <w:lvlJc w:val="left"/>
      <w:pPr>
        <w:ind w:left="3916" w:hanging="721"/>
      </w:pPr>
      <w:rPr>
        <w:rFonts w:hint="default"/>
      </w:rPr>
    </w:lvl>
    <w:lvl w:ilvl="4" w:tplc="F4AAD916">
      <w:start w:val="1"/>
      <w:numFmt w:val="bullet"/>
      <w:lvlText w:val="•"/>
      <w:lvlJc w:val="left"/>
      <w:pPr>
        <w:ind w:left="4879" w:hanging="721"/>
      </w:pPr>
      <w:rPr>
        <w:rFonts w:hint="default"/>
      </w:rPr>
    </w:lvl>
    <w:lvl w:ilvl="5" w:tplc="CA22F3BC">
      <w:start w:val="1"/>
      <w:numFmt w:val="bullet"/>
      <w:lvlText w:val="•"/>
      <w:lvlJc w:val="left"/>
      <w:pPr>
        <w:ind w:left="5843" w:hanging="721"/>
      </w:pPr>
      <w:rPr>
        <w:rFonts w:hint="default"/>
      </w:rPr>
    </w:lvl>
    <w:lvl w:ilvl="6" w:tplc="21BA5682">
      <w:start w:val="1"/>
      <w:numFmt w:val="bullet"/>
      <w:lvlText w:val="•"/>
      <w:lvlJc w:val="left"/>
      <w:pPr>
        <w:ind w:left="6806" w:hanging="721"/>
      </w:pPr>
      <w:rPr>
        <w:rFonts w:hint="default"/>
      </w:rPr>
    </w:lvl>
    <w:lvl w:ilvl="7" w:tplc="4A005214">
      <w:start w:val="1"/>
      <w:numFmt w:val="bullet"/>
      <w:lvlText w:val="•"/>
      <w:lvlJc w:val="left"/>
      <w:pPr>
        <w:ind w:left="7769" w:hanging="721"/>
      </w:pPr>
      <w:rPr>
        <w:rFonts w:hint="default"/>
      </w:rPr>
    </w:lvl>
    <w:lvl w:ilvl="8" w:tplc="4E8837FA">
      <w:start w:val="1"/>
      <w:numFmt w:val="bullet"/>
      <w:lvlText w:val="•"/>
      <w:lvlJc w:val="left"/>
      <w:pPr>
        <w:ind w:left="8733" w:hanging="721"/>
      </w:pPr>
      <w:rPr>
        <w:rFonts w:hint="default"/>
      </w:rPr>
    </w:lvl>
  </w:abstractNum>
  <w:abstractNum w:abstractNumId="5">
    <w:nsid w:val="519038C4"/>
    <w:multiLevelType w:val="hybridMultilevel"/>
    <w:tmpl w:val="01EAC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68372D"/>
    <w:multiLevelType w:val="hybridMultilevel"/>
    <w:tmpl w:val="1300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72A9"/>
    <w:multiLevelType w:val="hybridMultilevel"/>
    <w:tmpl w:val="3B82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1"/>
    <w:rsid w:val="003B75B7"/>
    <w:rsid w:val="003C612D"/>
    <w:rsid w:val="00421432"/>
    <w:rsid w:val="0043332C"/>
    <w:rsid w:val="00463ECA"/>
    <w:rsid w:val="004B1721"/>
    <w:rsid w:val="00733FE6"/>
    <w:rsid w:val="007E5729"/>
    <w:rsid w:val="00A7489D"/>
    <w:rsid w:val="00BD38CE"/>
    <w:rsid w:val="00CC5EC7"/>
    <w:rsid w:val="00DF5959"/>
    <w:rsid w:val="00E1513C"/>
    <w:rsid w:val="00F10B81"/>
    <w:rsid w:val="00FB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1"/>
    <w:qFormat/>
    <w:rsid w:val="004B1721"/>
    <w:pPr>
      <w:widowControl w:val="0"/>
      <w:ind w:left="107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1721"/>
    <w:rPr>
      <w:rFonts w:ascii="Arial" w:eastAsia="Arial" w:hAnsi="Arial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B1721"/>
    <w:pPr>
      <w:widowControl w:val="0"/>
    </w:pPr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FB06F6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Michael L</dc:creator>
  <cp:lastModifiedBy>Young Michael L</cp:lastModifiedBy>
  <cp:revision>2</cp:revision>
  <dcterms:created xsi:type="dcterms:W3CDTF">2013-11-26T16:34:00Z</dcterms:created>
  <dcterms:modified xsi:type="dcterms:W3CDTF">2013-11-26T16:34:00Z</dcterms:modified>
</cp:coreProperties>
</file>